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Divorce or Legal Separation, Part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>FILING SEPARATE WITH MINORS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Milwaukee County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16"/>
          <w:szCs w:val="16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2" w:color="auto"/>
        </w:pBdr>
        <w:spacing w:before="0"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$198</w:t>
      </w:r>
      <w:r>
        <w:t>: for filing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0"/>
          <w:numId w:val="1"/>
        </w:numPr>
        <w:pBdr>
          <w:left w:val="none" w:sz="0" w:space="2" w:color="auto"/>
        </w:pBdr>
        <w:spacing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$90</w:t>
      </w:r>
      <w:r>
        <w:t>:</w:t>
      </w:r>
      <w:r>
        <w:t xml:space="preserve">  </w:t>
      </w:r>
      <w:r>
        <w:t>for service through the Milwaukee County Sheriff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For service through sheriff’s departments outside Milwaukee County: </w:t>
      </w:r>
      <w:r>
        <w:rPr>
          <w:b/>
          <w:bCs/>
        </w:rPr>
        <w:t>fees vary</w:t>
      </w:r>
      <w:r>
        <w:t xml:space="preserve"> by county (some accept approved Fee Waivers from outside their county; some do not).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 xml:space="preserve">FORMS and COPIES NEEDED </w:t>
      </w:r>
      <w:r>
        <w:t>(all originals AND copies must be single-sided)</w:t>
      </w:r>
    </w:p>
    <w:p>
      <w:pPr>
        <w:numPr>
          <w:ilvl w:val="0"/>
          <w:numId w:val="2"/>
        </w:numPr>
        <w:pBdr>
          <w:left w:val="none" w:sz="0" w:space="2" w:color="auto"/>
        </w:pBdr>
        <w:spacing w:before="0"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Summons with Minor Children</w:t>
      </w:r>
      <w:r>
        <w:t xml:space="preserve"> (FA-4104V)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5 copies</w:t>
      </w:r>
    </w:p>
    <w:p>
      <w:pPr>
        <w:numPr>
          <w:ilvl w:val="0"/>
          <w:numId w:val="2"/>
        </w:numPr>
        <w:pBdr>
          <w:left w:val="none" w:sz="0" w:space="2" w:color="auto"/>
        </w:pBdr>
        <w:spacing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Petition with Minor Children</w:t>
      </w:r>
      <w:r>
        <w:t xml:space="preserve"> (FA-4108V)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5 copies</w:t>
      </w:r>
    </w:p>
    <w:p>
      <w:pPr>
        <w:numPr>
          <w:ilvl w:val="0"/>
          <w:numId w:val="2"/>
        </w:numPr>
        <w:pBdr>
          <w:left w:val="none" w:sz="0" w:space="2" w:color="auto"/>
        </w:pBdr>
        <w:spacing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</w:t>
      </w:r>
    </w:p>
    <w:p>
      <w:pPr>
        <w:numPr>
          <w:ilvl w:val="0"/>
          <w:numId w:val="2"/>
        </w:numPr>
        <w:pBdr>
          <w:left w:val="none" w:sz="0" w:space="2" w:color="auto"/>
        </w:pBdr>
        <w:spacing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numPr>
          <w:ilvl w:val="0"/>
          <w:numId w:val="2"/>
        </w:numPr>
        <w:pBdr>
          <w:left w:val="none" w:sz="0" w:space="2" w:color="auto"/>
        </w:pBdr>
        <w:spacing w:line="240" w:lineRule="auto"/>
        <w:ind w:left="720" w:right="0" w:hanging="311"/>
        <w:jc w:val="left"/>
        <w:rPr>
          <w:rFonts w:ascii="Times New Roman" w:eastAsia="Times New Roman" w:hAnsi="Times New Roman" w:cs="Times New Roman"/>
        </w:rPr>
      </w:pPr>
      <w:r>
        <w:t>(optional)</w:t>
      </w:r>
      <w:r>
        <w:rPr>
          <w:b/>
          <w:bCs/>
        </w:rPr>
        <w:t xml:space="preserve"> Forms to request a Temporary Order Hearing </w:t>
      </w:r>
      <w:r>
        <w:rPr>
          <w:rFonts w:ascii="Wingdings" w:eastAsia="Wingdings" w:hAnsi="Wingdings" w:cs="Wingdings"/>
          <w:b/>
          <w:bCs/>
        </w:rPr>
        <w:sym w:font="Wingdings" w:char="F0E0"/>
      </w:r>
      <w:r>
        <w:rPr>
          <w:b/>
          <w:bCs/>
        </w:rPr>
        <w:t xml:space="preserve"> </w:t>
      </w:r>
      <w:r>
        <w:t>Original and 5 copies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to Show Cause with Minor Children </w:t>
      </w:r>
      <w:r>
        <w:t>(FA-4128VB)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Affidavit for Temporary Order with Minor Children </w:t>
      </w:r>
      <w:r>
        <w:t>(FA-4128VA)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140335</wp:posOffset>
            </wp:positionV>
            <wp:extent cx="7029450" cy="219075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255905</wp:posOffset>
            </wp:positionV>
            <wp:extent cx="7029450" cy="354330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267335</wp:posOffset>
            </wp:positionV>
            <wp:extent cx="7029450" cy="259080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59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