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Modificación de la demanda—Condado de Milwaukee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(</w:t>
      </w:r>
      <w:r>
        <w:rPr>
          <w:b/>
          <w:bCs/>
          <w:i/>
          <w:iCs/>
          <w:smallCaps/>
          <w:sz w:val="32"/>
          <w:szCs w:val="32"/>
        </w:rPr>
        <w:t>Notice of Motion and Motion to Change)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</w:pPr>
    </w:p>
    <w:p>
      <w:pPr>
        <w:spacing w:before="0" w:after="0" w:line="240" w:lineRule="auto"/>
      </w:pPr>
      <w:r>
        <w:rPr>
          <w:b/>
          <w:bCs/>
          <w:smallCaps/>
        </w:rPr>
        <w:t>GASTOS PARA ENTREGAR LOS FORMULARIOS A LA CORTE (</w:t>
      </w:r>
      <w:r>
        <w:t>Gastos administrativos</w:t>
      </w:r>
      <w:r>
        <w:rPr>
          <w:b/>
          <w:bCs/>
          <w:smallCaps/>
        </w:rPr>
        <w:t>) Y SERVICIO (</w:t>
      </w:r>
      <w:r>
        <w:rPr>
          <w:b/>
          <w:bCs/>
        </w:rPr>
        <w:t>pueden ser cubiertos con una Petición de Exención o Dispensa de Costos aprobada</w:t>
      </w:r>
      <w:r>
        <w:rPr>
          <w:b/>
          <w:bCs/>
          <w:smallCaps/>
        </w:rPr>
        <w:t>)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  <w:smallCaps/>
        </w:rPr>
        <w:t xml:space="preserve">$30: </w:t>
      </w:r>
      <w:r>
        <w:t>Para demandas de manutención de niños (Child Support)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  <w:smallCaps/>
        </w:rPr>
        <w:t xml:space="preserve">$50: </w:t>
      </w:r>
      <w:r>
        <w:t>Para demandas de custodia/ alojamiento (donde vive el niño/a y visitas con el otro padre) O mociones conjuntas de la mantención de niños (Child Support) y otros asuntos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  <w:smallCaps/>
        </w:rPr>
        <w:t>$90:</w:t>
      </w:r>
      <w:r>
        <w:t xml:space="preserve"> Para el servicio a través del departamento del sheriff en el condado de Milwaukee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t>Para servicio a través un departamento del sheriff en un condado afuera del condado de Milwaukee: los gastos pueden variar por condado (unos condados aceptan Peticiónes de Exención o Dispensa de Costos de fuera de su condado; otros no).</w:t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</w:pPr>
      <w:r>
        <w:rPr>
          <w:b/>
          <w:bCs/>
        </w:rPr>
        <w:t>FORMULARIOS Y COPIAS NECESARIOS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Notice of Motion and Motion to change </w:t>
      </w:r>
      <w:r>
        <w:t xml:space="preserve">(FA-4170V)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Copia original más 5 copias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Exención de costos, </w:t>
      </w:r>
      <w:r>
        <w:t xml:space="preserve">si cualifica </w:t>
      </w:r>
      <w:r>
        <w:rPr>
          <w:rFonts w:ascii="Wingdings" w:eastAsia="Wingdings" w:hAnsi="Wingdings" w:cs="Wingdings"/>
        </w:rPr>
        <w:sym w:font="Wingdings" w:char="F0E0"/>
      </w:r>
      <w:r>
        <w:t xml:space="preserve"> copias originales de los dos formularios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(Petición de Extención o Dispensa de Costos)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(Resolución sobre la Petición de Extención o Dispensa de Costos) </w:t>
      </w:r>
      <w:r>
        <w:t>(CV-410B)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page">
              <wp:posOffset>4725543</wp:posOffset>
            </wp:positionV>
            <wp:extent cx="6391275" cy="3267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tabs>
          <w:tab w:val="left" w:pos="5647"/>
        </w:tabs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4049776</wp:posOffset>
            </wp:positionV>
            <wp:extent cx="6010275" cy="399097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99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10275" cy="4067175"/>
            <wp:wrapSquare wrapText="bothSides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