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La estipulación de la demanda—Condado de Milwaukee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(</w:t>
      </w:r>
      <w:r>
        <w:rPr>
          <w:b/>
          <w:bCs/>
          <w:i/>
          <w:iCs/>
          <w:smallCaps/>
          <w:sz w:val="32"/>
          <w:szCs w:val="32"/>
        </w:rPr>
        <w:t>Stipulation to Change &amp; Order on Stipulation)</w:t>
      </w:r>
    </w:p>
    <w:p>
      <w:pPr>
        <w:spacing w:before="0" w:after="0"/>
        <w:rPr>
          <w:rFonts w:ascii="Calibri" w:eastAsia="Calibri" w:hAnsi="Calibri" w:cs="Calibri"/>
          <w:b/>
          <w:bCs/>
          <w:smallCaps/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GASTOS PARA ENTREGAR LOS FORMULARIOS A LA CORTE (</w:t>
      </w:r>
      <w:r>
        <w:rPr>
          <w:sz w:val="22"/>
          <w:szCs w:val="22"/>
        </w:rPr>
        <w:t>Gastos administrativos</w:t>
      </w:r>
      <w:r>
        <w:rPr>
          <w:b/>
          <w:bCs/>
          <w:smallCaps/>
          <w:sz w:val="22"/>
          <w:szCs w:val="22"/>
        </w:rPr>
        <w:t>) Y SERVICIO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$0: No hay gastos administrativos para esta demanda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No se requiere el servicio (entregarle la demanda a la otra persona)</w:t>
      </w: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FORMULARIOS Y COPIAS NECESARIOS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Stipulation to Change (FA-604A)</w:t>
      </w:r>
      <w:r>
        <w:rPr>
          <w:rFonts w:ascii="Wingdings" w:eastAsia="Wingdings" w:hAnsi="Wingdings" w:cs="Wingdings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Original más 2 copias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Order on Stipulation to Change (FA-604B) </w:t>
      </w:r>
      <w:r>
        <w:rPr>
          <w:rFonts w:ascii="Wingdings" w:eastAsia="Wingdings" w:hAnsi="Wingdings" w:cs="Wingdings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Original más 2 copias</w:t>
      </w:r>
    </w:p>
    <w:p>
      <w:pPr>
        <w:numPr>
          <w:ilvl w:val="0"/>
          <w:numId w:val="2"/>
        </w:numPr>
        <w:pBdr>
          <w:left w:val="none" w:sz="0" w:space="7" w:color="auto"/>
        </w:pBdr>
        <w:spacing w:after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trike w:val="0"/>
          <w:sz w:val="22"/>
          <w:szCs w:val="22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2958973</wp:posOffset>
            </wp:positionH>
            <wp:positionV relativeFrom="paragraph">
              <wp:posOffset>19939</wp:posOffset>
            </wp:positionV>
            <wp:extent cx="609600" cy="371475"/>
            <wp:wrapNone/>
            <wp:docPr id="100001" name="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trike w:val="0"/>
          <w:sz w:val="22"/>
          <w:szCs w:val="22"/>
          <w:u w:val="none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19939</wp:posOffset>
            </wp:positionV>
            <wp:extent cx="609600" cy="371475"/>
            <wp:wrapNone/>
            <wp:docPr id="100003" name="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2 sobres tamaño regular con 2 estampías </w:t>
      </w: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sz w:val="22"/>
          <w:szCs w:val="22"/>
          <w:u w:val="none"/>
        </w:rPr>
        <w:drawing>
          <wp:anchor simplePos="0" relativeHeight="251661312" behindDoc="0" locked="0" layoutInCell="1" allowOverlap="1">
            <wp:simplePos x="0" y="0"/>
            <wp:positionH relativeFrom="margin">
              <wp:posOffset>-215773</wp:posOffset>
            </wp:positionH>
            <wp:positionV relativeFrom="page">
              <wp:posOffset>3298063</wp:posOffset>
            </wp:positionV>
            <wp:extent cx="6381750" cy="365760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strike w:val="0"/>
          <w:sz w:val="22"/>
          <w:szCs w:val="22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-154051</wp:posOffset>
            </wp:positionH>
            <wp:positionV relativeFrom="paragraph">
              <wp:posOffset>-462280</wp:posOffset>
            </wp:positionV>
            <wp:extent cx="6381750" cy="3457575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457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